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DA68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I. PREDMET JAVNOG POZIVA</w:t>
      </w:r>
    </w:p>
    <w:p w14:paraId="5516C356" w14:textId="57293131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Programom rada Turističke zajednice Općine Selca za 202</w:t>
      </w:r>
      <w:r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2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 xml:space="preserve">. godinu pod stavkom </w:t>
      </w:r>
      <w:r w:rsidRPr="00F04D69">
        <w:rPr>
          <w:rFonts w:ascii="Arial" w:hAnsi="Arial" w:cs="Arial"/>
          <w:color w:val="3B3838" w:themeColor="background2" w:themeShade="40"/>
          <w:sz w:val="24"/>
          <w:szCs w:val="24"/>
        </w:rPr>
        <w:t xml:space="preserve">2.3. Podrška razvoju turističkih 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planirana su sredstva namijenjena za sufinanciranje manifestacija i događanja na području općine Selca.</w:t>
      </w:r>
    </w:p>
    <w:p w14:paraId="6550A84F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Predmet Javnog poziva je dodjela bespovratnih novčanih sredstava Turističke zajednice općine Selca za manifestacije i događanja lokalnog značaja koje doprinose razvoju turizma te kulturne i povijesne baštine, podizanju kvalitete i količine turističke ponude, razvoju kulturnog, aktivnog, ruralnog i ostalih oblika turizma, razvoju sadržaja koji omogućavaju poboljšavanje kvalitete i produženje turističke sezone, stvaranju prepoznatljivog imidža turizma općine Selca.</w:t>
      </w:r>
    </w:p>
    <w:p w14:paraId="6255D862" w14:textId="1B0D2F34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U slučaju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 xml:space="preserve"> nepredviđenih okolnosti Turistička zajednica općine Selca zadržava pravo poništavanja Javnog poziva u bilo kojem trenutku.</w:t>
      </w:r>
    </w:p>
    <w:p w14:paraId="125B00D8" w14:textId="77777777" w:rsidR="00FC3BB2" w:rsidRPr="00FC3BB2" w:rsidRDefault="00FC3BB2" w:rsidP="00FC3BB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bdr w:val="none" w:sz="0" w:space="0" w:color="auto" w:frame="1"/>
          <w:lang w:eastAsia="hr-HR"/>
        </w:rPr>
        <w:t>Ukupno planirana vrijednost javnog poziva je 30.000,00 kuna.</w:t>
      </w:r>
    </w:p>
    <w:p w14:paraId="483C1EC2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Sredstva potpore odobravat će se za organizaciju i realizaciju lokalnih manifestacija i događanja i to:</w:t>
      </w:r>
    </w:p>
    <w:p w14:paraId="4574CC79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1. Kulturnih manifestacija</w:t>
      </w:r>
    </w:p>
    <w:p w14:paraId="2CD50930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2. Zabavnih manifestacija</w:t>
      </w:r>
    </w:p>
    <w:p w14:paraId="03CE3801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3. Sportskih manifestacija</w:t>
      </w:r>
    </w:p>
    <w:p w14:paraId="19472F5E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4. Eno-gastronomskih manifestacija</w:t>
      </w:r>
    </w:p>
    <w:p w14:paraId="5AF0FB0B" w14:textId="50EC0CBF" w:rsid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5. Ostalih manifestacija</w:t>
      </w:r>
    </w:p>
    <w:p w14:paraId="0AB1E471" w14:textId="77777777" w:rsidR="00F04D69" w:rsidRPr="00FC3BB2" w:rsidRDefault="00F04D69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</w:p>
    <w:p w14:paraId="69DBC34A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II. NAMJENA SREDSTAVA</w:t>
      </w:r>
    </w:p>
    <w:p w14:paraId="2EDFD61C" w14:textId="0716CBC5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Bespovratna sredstva potpore mogu se dodijeliti i koristiti isključivo za manifestacije koje se održavaju u 202</w:t>
      </w:r>
      <w:r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2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. godini na području općine Selca.</w:t>
      </w:r>
    </w:p>
    <w:p w14:paraId="5C25BD0C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Sredstva su namijenjena za sufinanciranje troškova nabave roba i usluga za neposrednu realizaciju manifestacija i to:</w:t>
      </w:r>
    </w:p>
    <w:p w14:paraId="2ED25D23" w14:textId="77777777" w:rsidR="00FC3BB2" w:rsidRPr="00FC3BB2" w:rsidRDefault="00FC3BB2" w:rsidP="00FC3BB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sufinanciranje održavanja manifestacije (troškovi glazbenika, troškovi učesnika u manifestaciji, ostali troškovi);</w:t>
      </w:r>
    </w:p>
    <w:p w14:paraId="574BD125" w14:textId="77777777" w:rsidR="00FC3BB2" w:rsidRPr="00FC3BB2" w:rsidRDefault="00FC3BB2" w:rsidP="00FC3BB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izrada promotivnih materijala i promocije manifestacije</w:t>
      </w:r>
    </w:p>
    <w:p w14:paraId="12A35295" w14:textId="77777777" w:rsidR="00FC3BB2" w:rsidRPr="00FC3BB2" w:rsidRDefault="00FC3BB2" w:rsidP="00FC3BB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nabava radnog/potrošnog materijala vezanog za organizaciju manifestacije</w:t>
      </w:r>
    </w:p>
    <w:p w14:paraId="1EA3E550" w14:textId="6595697D" w:rsidR="00FC3BB2" w:rsidRDefault="00FC3BB2" w:rsidP="00FC3BB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druge potrebe u funkciji održavanja manifestacije.</w:t>
      </w:r>
    </w:p>
    <w:p w14:paraId="2FFCC138" w14:textId="77777777" w:rsidR="00F04D69" w:rsidRPr="00FC3BB2" w:rsidRDefault="00F04D69" w:rsidP="00F04D6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</w:p>
    <w:p w14:paraId="10A0F6F9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lastRenderedPageBreak/>
        <w:t>III. KORISNICI SREDSTAVA</w:t>
      </w:r>
    </w:p>
    <w:p w14:paraId="0A2F57D2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Za sredstva potpore mogu se kandidirati pravne i fizičke osobe (dalje u tekstu: Organizator) i to:</w:t>
      </w:r>
    </w:p>
    <w:p w14:paraId="5548D0F4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1. Trgovačka društva</w:t>
      </w:r>
    </w:p>
    <w:p w14:paraId="65850D49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2. Obrti</w:t>
      </w:r>
    </w:p>
    <w:p w14:paraId="3C5B91E5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3. Kulturne i druge javne ustanove</w:t>
      </w:r>
    </w:p>
    <w:p w14:paraId="1FF8D902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4. Udruge</w:t>
      </w:r>
    </w:p>
    <w:p w14:paraId="28A9DAE6" w14:textId="71D9F2F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Prijave se mogu poslati za sufinanciranje manifestacija/ događanja koji će se provoditi tijekom 202</w:t>
      </w:r>
      <w:r w:rsidR="00B31AF0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2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. godine. Svaki organizator ima pravo na ovaj poziv poslati najviše dvije (2) prijave za sufinanciranje određene manifestacije/događanja.</w:t>
      </w:r>
    </w:p>
    <w:p w14:paraId="173F73BD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Za potporu za pojedinu manifestaciju se može kandidirati samo Organizator manifestacije, koji u cijelosti organizira manifestaciju za koju traži potporu.</w:t>
      </w:r>
    </w:p>
    <w:p w14:paraId="7847C664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Za potpore se ne mogu kandidirati Organizatori koji su dužnici plaćanja boravišne pristojbe i/ili turističke članarine.</w:t>
      </w:r>
    </w:p>
    <w:p w14:paraId="7492D506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IV. PRIHVATLJIVOST TROŠKOVA</w:t>
      </w:r>
    </w:p>
    <w:p w14:paraId="40033A32" w14:textId="11751D3D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 xml:space="preserve">Turistička zajednica općine Selca može Organizatoru odobriti potporu do </w:t>
      </w:r>
      <w:r w:rsidR="00E545C6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9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0% opravdanih/prihvatljivih troškova manifestacije.</w:t>
      </w:r>
    </w:p>
    <w:p w14:paraId="56DC631C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V. KRITERIJI ZA ODOBRAVANJE POTPORA</w:t>
      </w:r>
    </w:p>
    <w:p w14:paraId="5FD305EE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Kriteriji za odobravanje potpora su:</w:t>
      </w:r>
    </w:p>
    <w:p w14:paraId="3D9776B8" w14:textId="77777777" w:rsidR="00FC3BB2" w:rsidRPr="00FC3BB2" w:rsidRDefault="00FC3BB2" w:rsidP="00FC3B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kvaliteta i originalnost manifestacije/događanja</w:t>
      </w:r>
    </w:p>
    <w:p w14:paraId="76B242F6" w14:textId="77777777" w:rsidR="00FC3BB2" w:rsidRPr="00FC3BB2" w:rsidRDefault="00FC3BB2" w:rsidP="00FC3BB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doprinos manifestacije/događanja razvoju turističke ponude</w:t>
      </w:r>
    </w:p>
    <w:p w14:paraId="2FBFDA91" w14:textId="77777777" w:rsidR="00FC3BB2" w:rsidRPr="00FC3BB2" w:rsidRDefault="00FC3BB2" w:rsidP="00FC3BB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snaga tradicije /godine održavanja</w:t>
      </w:r>
    </w:p>
    <w:p w14:paraId="6E30C89C" w14:textId="77777777" w:rsidR="00FC3BB2" w:rsidRPr="00FC3BB2" w:rsidRDefault="00FC3BB2" w:rsidP="00FC3BB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broj sudionika (turista/gledatelja)</w:t>
      </w:r>
    </w:p>
    <w:p w14:paraId="608D0401" w14:textId="77777777" w:rsidR="00FC3BB2" w:rsidRPr="00FC3BB2" w:rsidRDefault="00FC3BB2" w:rsidP="00FC3BB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vremenski period održavanja manifestacije/događanja</w:t>
      </w:r>
    </w:p>
    <w:p w14:paraId="1CDF739B" w14:textId="77777777" w:rsidR="00FC3BB2" w:rsidRPr="00FC3BB2" w:rsidRDefault="00FC3BB2" w:rsidP="00FC3BB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udio vlastitih sredstava</w:t>
      </w:r>
    </w:p>
    <w:p w14:paraId="4362C199" w14:textId="77777777" w:rsidR="00FC3BB2" w:rsidRPr="00FC3BB2" w:rsidRDefault="00FC3BB2" w:rsidP="00FC3BB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ukupna vrijednost manifestacije</w:t>
      </w:r>
    </w:p>
    <w:p w14:paraId="3EA9DE94" w14:textId="77777777" w:rsidR="00FC3BB2" w:rsidRPr="00FC3BB2" w:rsidRDefault="00FC3BB2" w:rsidP="00FC3BB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promocija manifestacije/događanja</w:t>
      </w:r>
    </w:p>
    <w:p w14:paraId="15CC9EFF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VI. POTREBNA DOKUMENTACIJA</w:t>
      </w:r>
    </w:p>
    <w:p w14:paraId="65FC5E32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Za kandidiranje manifestacija za dodjelu potpore organizator mora dostaviti:</w:t>
      </w:r>
    </w:p>
    <w:p w14:paraId="1DB6A1E5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1. Obrazac „ZAHTJEV ZA POTPORU" koji je sastavni dio ovog Javnog poziva ( objavljen na web stranici www.visitselca.com)</w:t>
      </w:r>
    </w:p>
    <w:p w14:paraId="026DA018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lastRenderedPageBreak/>
        <w:t>2. Dokaz o pravnom statusu organizatora manifestacije (preslika izvoda iz trgovačkog, obrtnog ili drugog odgovarajućeg registra)</w:t>
      </w:r>
    </w:p>
    <w:p w14:paraId="42A35A49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3. Program i troškovnik manifestacije</w:t>
      </w:r>
    </w:p>
    <w:p w14:paraId="0FCB8AC0" w14:textId="77777777" w:rsidR="00FC3BB2" w:rsidRPr="00FC3BB2" w:rsidRDefault="00FC3BB2" w:rsidP="00FC3BB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4. Obrazac privole za obradu osobnih podataka koji se koriste pri obradi natječajne dokumentacije, potpisuju ga osobe čiji se osobni podatci upisuju u obrazac „PRIVOLA ZA OBRADU PODATAKA“ objavljen na web stranici Turističke zajednice općine Selca </w:t>
      </w:r>
      <w:hyperlink w:history="1">
        <w:r w:rsidRPr="00FC3BB2">
          <w:rPr>
            <w:rFonts w:ascii="Arial" w:eastAsia="Times New Roman" w:hAnsi="Arial" w:cs="Arial"/>
            <w:color w:val="3B3838" w:themeColor="background2" w:themeShade="40"/>
            <w:spacing w:val="11"/>
            <w:sz w:val="24"/>
            <w:szCs w:val="24"/>
            <w:u w:val="single"/>
            <w:bdr w:val="none" w:sz="0" w:space="0" w:color="auto" w:frame="1"/>
            <w:lang w:eastAsia="hr-HR"/>
          </w:rPr>
          <w:t>www.visitselca.com</w:t>
        </w:r>
      </w:hyperlink>
    </w:p>
    <w:p w14:paraId="0E96A545" w14:textId="25601E23" w:rsidR="00FC3BB2" w:rsidRPr="00FC3BB2" w:rsidRDefault="00B31AF0" w:rsidP="00FC3BB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Turistička zajednica općine</w:t>
      </w:r>
      <w:r w:rsidR="00FC3BB2"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 xml:space="preserve"> Selca zadržava pravo od organizatora manifestacije zatražiti dodatna pojašnjenja/podatke zahtjeva.</w:t>
      </w:r>
    </w:p>
    <w:p w14:paraId="444F006A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VII. POSTUPAK REALIZACIJE PROGRAMA</w:t>
      </w:r>
    </w:p>
    <w:p w14:paraId="25CFACC4" w14:textId="4D065A44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O zahtjevima pristiglim na Javni poziv raspravlja Komisija za provedbu dodjele bespovratnih sredstava potpore turističkim manifestacijama koje ima 3 člana</w:t>
      </w:r>
      <w:r w:rsidR="00B31AF0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 xml:space="preserve"> iz redova turističkog vijeća Turističke zajednice općine Selca.</w:t>
      </w:r>
    </w:p>
    <w:p w14:paraId="2B238EE8" w14:textId="5BDD5546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Komisija predlaže donošenje Odluke o raspodjeli sredstava koju donosi Turističko vijeće Turističke zajednice općine Selca</w:t>
      </w:r>
      <w:r w:rsidR="00B31AF0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.</w:t>
      </w:r>
    </w:p>
    <w:p w14:paraId="0E2E1A80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Sa korisnicima se sklapa Ugovor o namjenskom korištenju sredstava kojim se reguliraju međusobna prava i obveze. Popis korisnika s iznosom i namjenom dodijeljenih sredstava po organizatoru/korisniku biti će objavljen na internetskim stranicama Turističke zajednice općine Selca (www.visitselca.com) u roku od 15 dana od dana donošenja Odluke o odabiru manifestacija i dodjeli bespovratnih sredstava potpore.</w:t>
      </w:r>
    </w:p>
    <w:p w14:paraId="19BB472A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VIII. ROK I NAČIN PODNOŠENJA KANDIDATURE</w:t>
      </w:r>
    </w:p>
    <w:p w14:paraId="40A5E59B" w14:textId="50401270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Organizatori manifestacije, kandidaturu s cjelokupnom dokumentacijom podnose Turističkoj zajednici općine Selca. Kandidature se šalju u zatvorenoj omotnici s naznakom „Javni poziv za potpore manifestacijama – ne otvaraj“. Kandidature se šalju na adresu: Turistička zajednica općine Selca, Trg Stjepana Radića 5, 21425 Selca. Rok podnošenja kandidature je do 2</w:t>
      </w:r>
      <w:r w:rsidR="00B31AF0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0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.</w:t>
      </w:r>
      <w:r w:rsidR="00B31AF0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 xml:space="preserve"> svibnja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 xml:space="preserve"> 202</w:t>
      </w:r>
      <w:r w:rsidR="00B31AF0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2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. godine.</w:t>
      </w:r>
    </w:p>
    <w:p w14:paraId="376652DC" w14:textId="77777777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IX. NAČIN ISPLATE POTPORE</w:t>
      </w:r>
    </w:p>
    <w:p w14:paraId="6B859CCF" w14:textId="6EC0FD03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Turistička zajednica općine Selca će odobrena sredstva potpore doznačiti organizatoru nakon</w:t>
      </w:r>
      <w:r w:rsidR="00B31AF0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 xml:space="preserve"> dostavljenog zahtjeva za isplatu temelje</w:t>
      </w:r>
      <w:r w:rsidR="00C51B27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m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 xml:space="preserve"> dokumentacije utvrđene </w:t>
      </w:r>
      <w:r w:rsidR="00FB0D90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U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govorom.</w:t>
      </w:r>
    </w:p>
    <w:p w14:paraId="7FDD97B3" w14:textId="72F7D861" w:rsidR="00FC3BB2" w:rsidRPr="00FC3BB2" w:rsidRDefault="00FC3BB2" w:rsidP="00FC3B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</w:pP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 xml:space="preserve">KRAJNJI ROK ZA ISPLATU DODJELJENIH SREDSTAVA JE </w:t>
      </w:r>
      <w:r w:rsidR="00FB0D90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20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. PROSINCA 202</w:t>
      </w:r>
      <w:r w:rsidR="00FB0D90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2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. GODINE OSIM ZA MANIFESTACIJE KOJE SE ODRŽAVAJU U POSEZONI, ZA NAVEDENE MANIFESTACIJE ROK PODNOŠENJA ZAHTJEVA ZA ISPLATOM SREDSTAVA JE 20. SIJEČNJA 202</w:t>
      </w:r>
      <w:r w:rsidR="00FB0D90" w:rsidRPr="00F04D69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3</w:t>
      </w:r>
      <w:r w:rsidRPr="00FC3BB2">
        <w:rPr>
          <w:rFonts w:ascii="Arial" w:eastAsia="Times New Roman" w:hAnsi="Arial" w:cs="Arial"/>
          <w:color w:val="3B3838" w:themeColor="background2" w:themeShade="40"/>
          <w:spacing w:val="11"/>
          <w:sz w:val="24"/>
          <w:szCs w:val="24"/>
          <w:lang w:eastAsia="hr-HR"/>
        </w:rPr>
        <w:t>. GODINE. ZAHTJEVI ZA ISPLATOM POSLANI VAN NAVEDENIH ROKOVA NEĆE BITI UVAŽENI TE SREDSTVA NEĆE BITI ISPLAĆENA.</w:t>
      </w:r>
    </w:p>
    <w:p w14:paraId="758EF32E" w14:textId="77777777" w:rsidR="00E94D8A" w:rsidRPr="00F04D69" w:rsidRDefault="00E94D8A">
      <w:pPr>
        <w:rPr>
          <w:rFonts w:ascii="Arial" w:hAnsi="Arial" w:cs="Arial"/>
          <w:color w:val="3B3838" w:themeColor="background2" w:themeShade="40"/>
          <w:sz w:val="24"/>
          <w:szCs w:val="24"/>
        </w:rPr>
      </w:pPr>
    </w:p>
    <w:sectPr w:rsidR="00E94D8A" w:rsidRPr="00F0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6921"/>
    <w:multiLevelType w:val="multilevel"/>
    <w:tmpl w:val="EDFC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D5B9D"/>
    <w:multiLevelType w:val="multilevel"/>
    <w:tmpl w:val="B13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74F1A"/>
    <w:multiLevelType w:val="multilevel"/>
    <w:tmpl w:val="CDD6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F6CEF"/>
    <w:multiLevelType w:val="multilevel"/>
    <w:tmpl w:val="9234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69661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0731163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82335012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48250234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B2"/>
    <w:rsid w:val="008153E0"/>
    <w:rsid w:val="00A73641"/>
    <w:rsid w:val="00B31AF0"/>
    <w:rsid w:val="00C51B27"/>
    <w:rsid w:val="00E545C6"/>
    <w:rsid w:val="00E94D8A"/>
    <w:rsid w:val="00F04D69"/>
    <w:rsid w:val="00FB0D90"/>
    <w:rsid w:val="00F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30D5"/>
  <w15:chartTrackingRefBased/>
  <w15:docId w15:val="{AFD858FE-FC30-4FD7-8A22-FB7CBAFA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C3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C3BB2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C3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Selca</dc:creator>
  <cp:keywords/>
  <dc:description/>
  <cp:lastModifiedBy>TZ Selca</cp:lastModifiedBy>
  <cp:revision>3</cp:revision>
  <dcterms:created xsi:type="dcterms:W3CDTF">2022-05-03T06:28:00Z</dcterms:created>
  <dcterms:modified xsi:type="dcterms:W3CDTF">2022-05-03T07:05:00Z</dcterms:modified>
</cp:coreProperties>
</file>